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4E" w:rsidRPr="00761E51" w:rsidRDefault="00F10920">
      <w:pPr>
        <w:pStyle w:val="BodyText"/>
        <w:spacing w:before="78"/>
        <w:ind w:left="3613"/>
      </w:pPr>
      <w:r>
        <w:t>2019</w:t>
      </w:r>
      <w:r w:rsidR="00EC3325" w:rsidRPr="00761E51">
        <w:t xml:space="preserve"> Quality Performance Results Table</w:t>
      </w:r>
    </w:p>
    <w:p w:rsidR="00BA0E4E" w:rsidRPr="00761E51" w:rsidRDefault="00BA0E4E">
      <w:pPr>
        <w:spacing w:before="6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6616"/>
        <w:gridCol w:w="1346"/>
        <w:gridCol w:w="1981"/>
      </w:tblGrid>
      <w:tr w:rsidR="00BA0E4E" w:rsidRPr="00761E51" w:rsidTr="001B2ECB">
        <w:trPr>
          <w:trHeight w:val="227"/>
        </w:trPr>
        <w:tc>
          <w:tcPr>
            <w:tcW w:w="1034" w:type="dxa"/>
            <w:vMerge w:val="restart"/>
          </w:tcPr>
          <w:p w:rsidR="00BA0E4E" w:rsidRPr="00761E51" w:rsidRDefault="00BA0E4E">
            <w:pPr>
              <w:pStyle w:val="TableParagraph"/>
              <w:spacing w:before="3" w:line="240" w:lineRule="auto"/>
              <w:jc w:val="left"/>
              <w:rPr>
                <w:b/>
                <w:sz w:val="30"/>
              </w:rPr>
            </w:pPr>
          </w:p>
          <w:p w:rsidR="00BA0E4E" w:rsidRPr="00761E51" w:rsidRDefault="00EC3325">
            <w:pPr>
              <w:pStyle w:val="TableParagraph"/>
              <w:spacing w:line="240" w:lineRule="auto"/>
              <w:ind w:left="163" w:right="113" w:hanging="17"/>
              <w:jc w:val="left"/>
              <w:rPr>
                <w:b/>
                <w:sz w:val="20"/>
              </w:rPr>
            </w:pPr>
            <w:r w:rsidRPr="00761E51">
              <w:rPr>
                <w:b/>
                <w:sz w:val="20"/>
              </w:rPr>
              <w:t>Measure</w:t>
            </w:r>
            <w:r w:rsidRPr="00761E51">
              <w:rPr>
                <w:b/>
                <w:w w:val="99"/>
                <w:sz w:val="20"/>
              </w:rPr>
              <w:t xml:space="preserve"> </w:t>
            </w:r>
            <w:r w:rsidRPr="00761E51">
              <w:rPr>
                <w:b/>
                <w:sz w:val="20"/>
              </w:rPr>
              <w:t>Number</w:t>
            </w:r>
          </w:p>
        </w:tc>
        <w:tc>
          <w:tcPr>
            <w:tcW w:w="6616" w:type="dxa"/>
            <w:vMerge w:val="restart"/>
          </w:tcPr>
          <w:p w:rsidR="00BA0E4E" w:rsidRPr="00761E51" w:rsidRDefault="00BA0E4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A0E4E" w:rsidRPr="00761E51" w:rsidRDefault="00BA0E4E">
            <w:pPr>
              <w:pStyle w:val="TableParagraph"/>
              <w:spacing w:before="3" w:line="240" w:lineRule="auto"/>
              <w:jc w:val="left"/>
              <w:rPr>
                <w:b/>
                <w:sz w:val="18"/>
              </w:rPr>
            </w:pPr>
          </w:p>
          <w:p w:rsidR="00BA0E4E" w:rsidRPr="00761E51" w:rsidRDefault="00EC3325">
            <w:pPr>
              <w:pStyle w:val="TableParagraph"/>
              <w:spacing w:before="1" w:line="240" w:lineRule="auto"/>
              <w:ind w:left="2636" w:right="2636"/>
              <w:rPr>
                <w:b/>
                <w:sz w:val="20"/>
              </w:rPr>
            </w:pPr>
            <w:r w:rsidRPr="00761E51">
              <w:rPr>
                <w:b/>
                <w:sz w:val="20"/>
              </w:rPr>
              <w:t>Measure Name</w:t>
            </w:r>
          </w:p>
        </w:tc>
        <w:tc>
          <w:tcPr>
            <w:tcW w:w="3327" w:type="dxa"/>
            <w:gridSpan w:val="2"/>
          </w:tcPr>
          <w:p w:rsidR="00BA0E4E" w:rsidRPr="00761E51" w:rsidRDefault="0049698F">
            <w:pPr>
              <w:pStyle w:val="TableParagraph"/>
              <w:spacing w:line="205" w:lineRule="exact"/>
              <w:ind w:left="6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  <w:r w:rsidR="00EC3325" w:rsidRPr="00761E51">
              <w:rPr>
                <w:b/>
                <w:sz w:val="20"/>
              </w:rPr>
              <w:t xml:space="preserve"> Reporting Period</w:t>
            </w:r>
          </w:p>
        </w:tc>
      </w:tr>
      <w:tr w:rsidR="00BA0E4E" w:rsidRPr="00761E51" w:rsidTr="001B2ECB">
        <w:trPr>
          <w:trHeight w:val="916"/>
        </w:trPr>
        <w:tc>
          <w:tcPr>
            <w:tcW w:w="1034" w:type="dxa"/>
            <w:vMerge/>
          </w:tcPr>
          <w:p w:rsidR="00BA0E4E" w:rsidRPr="00761E51" w:rsidRDefault="00BA0E4E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</w:tcPr>
          <w:p w:rsidR="00BA0E4E" w:rsidRPr="00761E51" w:rsidRDefault="00BA0E4E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BA0E4E" w:rsidRPr="00761E51" w:rsidRDefault="00EC3325">
            <w:pPr>
              <w:pStyle w:val="TableParagraph"/>
              <w:spacing w:before="108" w:line="240" w:lineRule="auto"/>
              <w:ind w:left="448"/>
              <w:jc w:val="left"/>
              <w:rPr>
                <w:b/>
                <w:sz w:val="20"/>
              </w:rPr>
            </w:pPr>
            <w:r w:rsidRPr="00761E51">
              <w:rPr>
                <w:b/>
                <w:sz w:val="20"/>
              </w:rPr>
              <w:t>ACO</w:t>
            </w:r>
          </w:p>
          <w:p w:rsidR="00BA0E4E" w:rsidRPr="00761E51" w:rsidRDefault="00EC3325">
            <w:pPr>
              <w:pStyle w:val="TableParagraph"/>
              <w:spacing w:before="1" w:line="240" w:lineRule="auto"/>
              <w:ind w:left="94" w:right="90"/>
              <w:rPr>
                <w:b/>
                <w:sz w:val="20"/>
              </w:rPr>
            </w:pPr>
            <w:r w:rsidRPr="00761E51">
              <w:rPr>
                <w:b/>
                <w:sz w:val="20"/>
              </w:rPr>
              <w:t>Performance Rate</w:t>
            </w:r>
          </w:p>
        </w:tc>
        <w:tc>
          <w:tcPr>
            <w:tcW w:w="1981" w:type="dxa"/>
          </w:tcPr>
          <w:p w:rsidR="00BA0E4E" w:rsidRPr="00761E51" w:rsidRDefault="00EC3325">
            <w:pPr>
              <w:pStyle w:val="TableParagraph"/>
              <w:spacing w:line="237" w:lineRule="auto"/>
              <w:ind w:left="145" w:right="136"/>
              <w:rPr>
                <w:b/>
                <w:sz w:val="20"/>
              </w:rPr>
            </w:pPr>
            <w:r w:rsidRPr="00761E51">
              <w:rPr>
                <w:b/>
                <w:sz w:val="20"/>
              </w:rPr>
              <w:t>Mean Performance Rate</w:t>
            </w:r>
          </w:p>
          <w:p w:rsidR="00BA0E4E" w:rsidRPr="00761E51" w:rsidRDefault="00EC3325">
            <w:pPr>
              <w:pStyle w:val="TableParagraph"/>
              <w:spacing w:line="230" w:lineRule="atLeast"/>
              <w:ind w:left="145" w:right="133"/>
              <w:rPr>
                <w:b/>
                <w:sz w:val="20"/>
              </w:rPr>
            </w:pPr>
            <w:r w:rsidRPr="00761E51">
              <w:rPr>
                <w:b/>
                <w:sz w:val="20"/>
              </w:rPr>
              <w:t>(Next Generation Model ACOs)</w:t>
            </w:r>
          </w:p>
        </w:tc>
      </w:tr>
      <w:tr w:rsidR="00BA0E4E" w:rsidRPr="00761E51" w:rsidTr="001B2ECB">
        <w:trPr>
          <w:trHeight w:val="267"/>
        </w:trPr>
        <w:tc>
          <w:tcPr>
            <w:tcW w:w="1034" w:type="dxa"/>
            <w:vAlign w:val="center"/>
          </w:tcPr>
          <w:p w:rsidR="00BA0E4E" w:rsidRPr="00761E51" w:rsidRDefault="00EC3325" w:rsidP="0049698F">
            <w:r w:rsidRPr="00761E51">
              <w:t>ACO-1</w:t>
            </w:r>
          </w:p>
        </w:tc>
        <w:tc>
          <w:tcPr>
            <w:tcW w:w="6616" w:type="dxa"/>
          </w:tcPr>
          <w:p w:rsidR="00BA0E4E" w:rsidRPr="00761E51" w:rsidRDefault="00EC3325" w:rsidP="0049698F">
            <w:pPr>
              <w:ind w:left="106"/>
            </w:pPr>
            <w:r w:rsidRPr="00761E51">
              <w:t>CAHPS: Getting Timely Care, Appointments, and Information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88.26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86.03</w:t>
            </w:r>
          </w:p>
        </w:tc>
      </w:tr>
      <w:tr w:rsidR="00BA0E4E" w:rsidRPr="00761E51" w:rsidTr="001B2ECB">
        <w:trPr>
          <w:trHeight w:val="228"/>
        </w:trPr>
        <w:tc>
          <w:tcPr>
            <w:tcW w:w="1034" w:type="dxa"/>
            <w:vAlign w:val="center"/>
          </w:tcPr>
          <w:p w:rsidR="00BA0E4E" w:rsidRPr="00761E51" w:rsidRDefault="00EC3325" w:rsidP="0049698F">
            <w:r w:rsidRPr="00761E51">
              <w:t>ACO-2</w:t>
            </w:r>
          </w:p>
        </w:tc>
        <w:tc>
          <w:tcPr>
            <w:tcW w:w="6616" w:type="dxa"/>
          </w:tcPr>
          <w:p w:rsidR="00BA0E4E" w:rsidRPr="00761E51" w:rsidRDefault="00EC3325" w:rsidP="0049698F">
            <w:pPr>
              <w:ind w:left="106"/>
            </w:pPr>
            <w:r w:rsidRPr="00761E51">
              <w:t>CAHPS: How Well Your Providers Communicate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94.06</w:t>
            </w:r>
          </w:p>
        </w:tc>
        <w:tc>
          <w:tcPr>
            <w:tcW w:w="1981" w:type="dxa"/>
            <w:vAlign w:val="center"/>
          </w:tcPr>
          <w:p w:rsidR="0049698F" w:rsidRPr="00761E51" w:rsidRDefault="0049698F" w:rsidP="0049698F">
            <w:r>
              <w:t>94.11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EC3325" w:rsidP="0049698F">
            <w:r w:rsidRPr="00761E51">
              <w:t>ACO-3</w:t>
            </w:r>
          </w:p>
        </w:tc>
        <w:tc>
          <w:tcPr>
            <w:tcW w:w="6616" w:type="dxa"/>
          </w:tcPr>
          <w:p w:rsidR="00BA0E4E" w:rsidRPr="00761E51" w:rsidRDefault="00EC3325" w:rsidP="0049698F">
            <w:pPr>
              <w:ind w:left="106"/>
            </w:pPr>
            <w:r w:rsidRPr="00761E51">
              <w:t>CAHPS: Patients’ Rating of Provider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92.28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92.75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EC3325" w:rsidP="0049698F">
            <w:r w:rsidRPr="00761E51">
              <w:t>ACO-4</w:t>
            </w:r>
          </w:p>
        </w:tc>
        <w:tc>
          <w:tcPr>
            <w:tcW w:w="6616" w:type="dxa"/>
          </w:tcPr>
          <w:p w:rsidR="00BA0E4E" w:rsidRPr="00761E51" w:rsidRDefault="00EC3325" w:rsidP="0049698F">
            <w:pPr>
              <w:ind w:left="106"/>
            </w:pPr>
            <w:r w:rsidRPr="00761E51">
              <w:t>CAHPS: Access to Specialists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82.18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80.97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EC3325" w:rsidP="0049698F">
            <w:r w:rsidRPr="00761E51">
              <w:t>ACO-5</w:t>
            </w:r>
          </w:p>
        </w:tc>
        <w:tc>
          <w:tcPr>
            <w:tcW w:w="6616" w:type="dxa"/>
          </w:tcPr>
          <w:p w:rsidR="00BA0E4E" w:rsidRPr="00761E51" w:rsidRDefault="00EC3325" w:rsidP="0049698F">
            <w:pPr>
              <w:ind w:left="106"/>
            </w:pPr>
            <w:r w:rsidRPr="00761E51">
              <w:t>CAHPS: Health Promotion and Education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59.33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60.46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EC3325" w:rsidP="0049698F">
            <w:r w:rsidRPr="00761E51">
              <w:t>ACO-6</w:t>
            </w:r>
          </w:p>
        </w:tc>
        <w:tc>
          <w:tcPr>
            <w:tcW w:w="6616" w:type="dxa"/>
          </w:tcPr>
          <w:p w:rsidR="00BA0E4E" w:rsidRPr="00761E51" w:rsidRDefault="00EC3325" w:rsidP="0049698F">
            <w:pPr>
              <w:ind w:left="106"/>
            </w:pPr>
            <w:r w:rsidRPr="00761E51">
              <w:t>CAHPS: Shared Decision Making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63.89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61.38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EC3325" w:rsidP="0049698F">
            <w:r w:rsidRPr="00761E51">
              <w:t>ACO-7</w:t>
            </w:r>
          </w:p>
        </w:tc>
        <w:tc>
          <w:tcPr>
            <w:tcW w:w="6616" w:type="dxa"/>
          </w:tcPr>
          <w:p w:rsidR="00BA0E4E" w:rsidRPr="00761E51" w:rsidRDefault="00EC3325" w:rsidP="0049698F">
            <w:pPr>
              <w:ind w:left="106"/>
            </w:pPr>
            <w:r w:rsidRPr="00761E51">
              <w:t>CAHPS: Health Status/Functional Status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74.14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74.49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EC3325" w:rsidP="0049698F">
            <w:r w:rsidRPr="00761E51">
              <w:t>ACO-34</w:t>
            </w:r>
          </w:p>
        </w:tc>
        <w:tc>
          <w:tcPr>
            <w:tcW w:w="6616" w:type="dxa"/>
          </w:tcPr>
          <w:p w:rsidR="00BA0E4E" w:rsidRPr="00761E51" w:rsidRDefault="00EC3325" w:rsidP="0049698F">
            <w:pPr>
              <w:ind w:left="106"/>
            </w:pPr>
            <w:r w:rsidRPr="00761E51">
              <w:t>CAHPS: Stewardship of Patient Resources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28.51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24.40</w:t>
            </w:r>
          </w:p>
        </w:tc>
      </w:tr>
      <w:tr w:rsidR="00BA0E4E" w:rsidRPr="00761E51" w:rsidTr="001B2ECB">
        <w:trPr>
          <w:trHeight w:val="225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ACO-45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CAHPS: Courteous and Helpful Office Staff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93.80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93.05</w:t>
            </w:r>
          </w:p>
        </w:tc>
      </w:tr>
      <w:tr w:rsidR="00BA0E4E" w:rsidRPr="00761E51" w:rsidTr="001B2ECB">
        <w:trPr>
          <w:trHeight w:val="457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ACO-46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CAHPS: Care Coordination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87.78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87.26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ACO-8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Risk-Standardized, All Condition Readmission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14.68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14.98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ACO-38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Risk-Standardized Acute Admission Rates for Patients with Multiple Chronic Conditions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54.07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56.34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ACO-43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Ambulatory Sensitive Condition Acute Composite (AHRQ Prevention Quality Indicator [PQI] #91) (version with additional Risk Adjustment)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1.72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1.72</w:t>
            </w:r>
          </w:p>
        </w:tc>
      </w:tr>
      <w:tr w:rsidR="00BA0E4E" w:rsidRPr="00761E51" w:rsidTr="001B2ECB">
        <w:trPr>
          <w:trHeight w:val="78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ACO-13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Falls: Screening for Future Falls Risk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98.39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88.97</w:t>
            </w:r>
          </w:p>
        </w:tc>
      </w:tr>
      <w:tr w:rsidR="00BA0E4E" w:rsidRPr="00761E51" w:rsidTr="001B2ECB">
        <w:trPr>
          <w:trHeight w:val="60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ACO-14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Preventive Care and Screening: Influenza Immunization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93.86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76.98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ACO-17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Preventive Care and Screening: Tobacco Use: Screening and Cessation Intervention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95.00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79.60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ACO-18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Preventive Care and Screening: Screening for Depression and Follow-up Plan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95.63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73.00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ACO-19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Colorectal Cancer Screening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75.10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77.12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ACO-20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Breast Cancer Screening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80.80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79.31</w:t>
            </w:r>
          </w:p>
        </w:tc>
        <w:bookmarkStart w:id="0" w:name="_GoBack"/>
        <w:bookmarkEnd w:id="0"/>
      </w:tr>
      <w:tr w:rsidR="00BA0E4E" w:rsidRPr="00761E51" w:rsidTr="001B2ECB">
        <w:trPr>
          <w:trHeight w:val="457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ACO-42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Statin Therapy for the Prevention and Treatment of Cardiovascular Disease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83.87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82.43</w:t>
            </w:r>
          </w:p>
        </w:tc>
      </w:tr>
      <w:tr w:rsidR="00BA0E4E" w:rsidRPr="00761E51" w:rsidTr="00B6561F">
        <w:trPr>
          <w:trHeight w:val="394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ACO-40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Depression Remission at Twelve Months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12.00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11.82</w:t>
            </w:r>
          </w:p>
        </w:tc>
      </w:tr>
      <w:tr w:rsidR="00BA0E4E" w:rsidRPr="00761E51" w:rsidTr="001B2ECB">
        <w:trPr>
          <w:trHeight w:val="457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ACO-27 [6]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Diabetes Mellitus: Hemoglobin A1c (HbA1c) Poor Control (&gt;9%)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11.69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11.43</w:t>
            </w:r>
          </w:p>
        </w:tc>
      </w:tr>
      <w:tr w:rsidR="00BA0E4E" w:rsidRPr="00761E51" w:rsidTr="001B2ECB">
        <w:trPr>
          <w:trHeight w:val="227"/>
        </w:trPr>
        <w:tc>
          <w:tcPr>
            <w:tcW w:w="1034" w:type="dxa"/>
            <w:vAlign w:val="center"/>
          </w:tcPr>
          <w:p w:rsidR="00BA0E4E" w:rsidRPr="00761E51" w:rsidRDefault="00F10920" w:rsidP="0049698F">
            <w:r>
              <w:t>ACO-28</w:t>
            </w:r>
          </w:p>
        </w:tc>
        <w:tc>
          <w:tcPr>
            <w:tcW w:w="6616" w:type="dxa"/>
          </w:tcPr>
          <w:p w:rsidR="00BA0E4E" w:rsidRPr="00761E51" w:rsidRDefault="00B6561F" w:rsidP="0049698F">
            <w:pPr>
              <w:ind w:left="106"/>
            </w:pPr>
            <w:r w:rsidRPr="00B6561F">
              <w:t>Hypertension: Controlling High Blood Pressure</w:t>
            </w:r>
          </w:p>
        </w:tc>
        <w:tc>
          <w:tcPr>
            <w:tcW w:w="1346" w:type="dxa"/>
            <w:vAlign w:val="center"/>
          </w:tcPr>
          <w:p w:rsidR="00BA0E4E" w:rsidRPr="00761E51" w:rsidRDefault="0049698F" w:rsidP="0049698F">
            <w:r>
              <w:t>68.95</w:t>
            </w:r>
          </w:p>
        </w:tc>
        <w:tc>
          <w:tcPr>
            <w:tcW w:w="1981" w:type="dxa"/>
            <w:vAlign w:val="center"/>
          </w:tcPr>
          <w:p w:rsidR="00BA0E4E" w:rsidRPr="00761E51" w:rsidRDefault="0049698F" w:rsidP="0049698F">
            <w:r>
              <w:t>78.62</w:t>
            </w:r>
          </w:p>
        </w:tc>
      </w:tr>
      <w:tr w:rsidR="00BA0E4E" w:rsidRPr="00761E51" w:rsidTr="001B2ECB">
        <w:trPr>
          <w:trHeight w:val="1059"/>
        </w:trPr>
        <w:tc>
          <w:tcPr>
            <w:tcW w:w="10977" w:type="dxa"/>
            <w:gridSpan w:val="4"/>
          </w:tcPr>
          <w:p w:rsidR="00BA0E4E" w:rsidRPr="00761E51" w:rsidRDefault="00BA0E4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BA0E4E" w:rsidRPr="00761E51" w:rsidTr="001B2ECB">
        <w:trPr>
          <w:trHeight w:val="460"/>
        </w:trPr>
        <w:tc>
          <w:tcPr>
            <w:tcW w:w="10977" w:type="dxa"/>
            <w:gridSpan w:val="4"/>
          </w:tcPr>
          <w:p w:rsidR="00BA0E4E" w:rsidRPr="00761E51" w:rsidRDefault="00EC3325">
            <w:pPr>
              <w:pStyle w:val="TableParagraph"/>
              <w:spacing w:line="223" w:lineRule="exact"/>
              <w:ind w:left="177"/>
              <w:jc w:val="left"/>
              <w:rPr>
                <w:sz w:val="20"/>
              </w:rPr>
            </w:pPr>
            <w:r w:rsidRPr="00761E51">
              <w:rPr>
                <w:sz w:val="20"/>
              </w:rPr>
              <w:t>CAHPS = Consumer Assessment of Healthcare Providers and Systems, PQI = Prevention Quality Indicator, LVSD = left ventricular</w:t>
            </w:r>
          </w:p>
          <w:p w:rsidR="00BA0E4E" w:rsidRPr="00761E51" w:rsidRDefault="00EC3325">
            <w:pPr>
              <w:pStyle w:val="TableParagraph"/>
              <w:spacing w:before="1" w:line="217" w:lineRule="exact"/>
              <w:ind w:left="249"/>
              <w:jc w:val="left"/>
              <w:rPr>
                <w:sz w:val="20"/>
              </w:rPr>
            </w:pPr>
            <w:r w:rsidRPr="00761E51">
              <w:rPr>
                <w:sz w:val="20"/>
              </w:rPr>
              <w:t>systolic dysfunction, ACE = angiotensin-converting enzyme, ARB = angiotensin receptor blocker, CAD = coronary artery disease.</w:t>
            </w:r>
          </w:p>
        </w:tc>
      </w:tr>
    </w:tbl>
    <w:p w:rsidR="00EC3325" w:rsidRPr="00761E51" w:rsidRDefault="00EC3325"/>
    <w:sectPr w:rsidR="00EC3325" w:rsidRPr="00761E51">
      <w:type w:val="continuous"/>
      <w:pgSz w:w="12240" w:h="15840"/>
      <w:pgMar w:top="64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4E"/>
    <w:rsid w:val="001B2ECB"/>
    <w:rsid w:val="00372286"/>
    <w:rsid w:val="0049698F"/>
    <w:rsid w:val="00761E51"/>
    <w:rsid w:val="00922A69"/>
    <w:rsid w:val="00B6561F"/>
    <w:rsid w:val="00BA0E4E"/>
    <w:rsid w:val="00EC3325"/>
    <w:rsid w:val="00F1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307E"/>
  <w15:docId w15:val="{420513BD-5BA9-449B-BE9A-3D5E5E57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E4CA09847DD41B17F6EBDCE134DDD" ma:contentTypeVersion="11" ma:contentTypeDescription="Create a new document." ma:contentTypeScope="" ma:versionID="e1b8f76ed68c6924a40e5da0e7f0c8ac">
  <xsd:schema xmlns:xsd="http://www.w3.org/2001/XMLSchema" xmlns:xs="http://www.w3.org/2001/XMLSchema" xmlns:p="http://schemas.microsoft.com/office/2006/metadata/properties" xmlns:ns2="2835a98b-ddbf-4f7c-935c-cd014396897f" xmlns:ns3="5ac0633b-8812-4cfb-aeff-502b1de6c99d" targetNamespace="http://schemas.microsoft.com/office/2006/metadata/properties" ma:root="true" ma:fieldsID="e437c7dd8196ea7e448a0bae2cabef33" ns2:_="" ns3:_="">
    <xsd:import namespace="2835a98b-ddbf-4f7c-935c-cd014396897f"/>
    <xsd:import namespace="5ac0633b-8812-4cfb-aeff-502b1de6c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5a98b-ddbf-4f7c-935c-cd0143968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0633b-8812-4cfb-aeff-502b1de6c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552B5-7E1D-4682-A2DF-CAAEF52F623E}"/>
</file>

<file path=customXml/itemProps2.xml><?xml version="1.0" encoding="utf-8"?>
<ds:datastoreItem xmlns:ds="http://schemas.openxmlformats.org/officeDocument/2006/customXml" ds:itemID="{F0733167-F7BD-4590-954F-05646E01B4D2}"/>
</file>

<file path=customXml/itemProps3.xml><?xml version="1.0" encoding="utf-8"?>
<ds:datastoreItem xmlns:ds="http://schemas.openxmlformats.org/officeDocument/2006/customXml" ds:itemID="{4C30C128-DB4C-4041-8C23-069E64FCD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Pollock</dc:creator>
  <cp:lastModifiedBy>Lyndsey Holmes</cp:lastModifiedBy>
  <cp:revision>3</cp:revision>
  <dcterms:created xsi:type="dcterms:W3CDTF">2021-01-19T17:19:00Z</dcterms:created>
  <dcterms:modified xsi:type="dcterms:W3CDTF">2021-01-19T17:28:00Z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  <property fmtid="{D5CDD505-2E9C-101B-9397-08002B2CF9AE}" pid="5" name="ContentTypeId">
    <vt:lpwstr>0x0101007E5E4CA09847DD41B17F6EBDCE134DDD</vt:lpwstr>
  </property>
</Properties>
</file>